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6"/>
          <w:shd w:fill="FFFFFF" w:val="clear"/>
        </w:rPr>
      </w:pPr>
      <w:r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6"/>
          <w:shd w:fill="FFFFFF" w:val="clear"/>
        </w:rPr>
        <w:t xml:space="preserve">杭州市</w:t>
      </w: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6"/>
          <w:shd w:fill="FFFFFF" w:val="clear"/>
        </w:rPr>
        <w:t xml:space="preserve">园林文物局</w:t>
      </w:r>
      <w:r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6"/>
          <w:shd w:fill="FFFFFF" w:val="clear"/>
        </w:rPr>
        <w:t xml:space="preserve">2022年度政府信息公开工作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仿宋_GB2312" w:hAnsi="仿宋_GB2312" w:cs="仿宋_GB2312" w:eastAsia="仿宋_GB2312"/>
          <w:color w:val="333333"/>
          <w:spacing w:val="0"/>
          <w:position w:val="0"/>
          <w:sz w:val="27"/>
          <w:shd w:fill="FFFFFF" w:val="clear"/>
        </w:rPr>
      </w:pPr>
      <w:r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6"/>
          <w:shd w:fill="FFFFFF" w:val="clear"/>
        </w:rPr>
        <w:t xml:space="preserve">年度报告</w:t>
      </w:r>
    </w:p>
    <w:p>
      <w:pPr>
        <w:widowControl w:val="false"/>
        <w:spacing w:before="0" w:after="0" w:line="240"/>
        <w:ind w:right="0" w:left="0" w:firstLine="480"/>
        <w:jc w:val="both"/>
        <w:rPr>
          <w:rFonts w:ascii="仿宋_GB2312" w:hAnsi="仿宋_GB2312" w:cs="仿宋_GB2312" w:eastAsia="仿宋_GB2312"/>
          <w:color w:val="333333"/>
          <w:spacing w:val="0"/>
          <w:position w:val="0"/>
          <w:sz w:val="27"/>
          <w:shd w:fill="FFFFFF" w:val="clear"/>
        </w:rPr>
      </w:pPr>
    </w:p>
    <w:p>
      <w:pPr>
        <w:widowControl w:val="false"/>
        <w:spacing w:before="0" w:after="0" w:line="360"/>
        <w:ind w:right="0" w:left="0" w:firstLine="602"/>
        <w:jc w:val="both"/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</w:pPr>
      <w:r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  <w:t xml:space="preserve">一、总体情况</w:t>
      </w:r>
    </w:p>
    <w:p>
      <w:pPr>
        <w:widowControl w:val="false"/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  <w:t xml:space="preserve">（一）主动公开</w:t>
      </w:r>
    </w:p>
    <w:p>
      <w:pPr>
        <w:widowControl w:val="false"/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  <w:t xml:space="preserve">本年度，我局始终践行主动公开中相关规定，以“中国杭州”政府信息公开平台和微信公众号等政务新媒体为依托，统一规范公开方式，坚持公开内容聚焦重点政务信息。参考中央政府门户网站政府信息公开专栏，突出展示本单位特色工作动态，严格界定政府信息公开制度等内容，完成政府信息公开平台建设，在方便服务对象的同时，接受社会各界的监督。政府信息公开平台方面，本年度我局通过“中国杭州”网站公开政务信息82条，其中包括日常工作动态、部门预决算、建议提案、业务公告、民生实事等多方面内容。政务新媒体方面，通过收集现有资料、信息、影像等提炼素材，加强“官微”宣传阵地建设，保证每周更新2次以上，本年度已发布百余条图文信息，内容包括园林文物方面重要活动及重点工作信息。</w:t>
      </w:r>
    </w:p>
    <w:p>
      <w:pPr>
        <w:widowControl w:val="false"/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  <w:t xml:space="preserve">（二）依申请公开</w:t>
      </w:r>
    </w:p>
    <w:p>
      <w:pPr>
        <w:widowControl w:val="false"/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  <w:t xml:space="preserve">我局严格依照依申请公开各项规定，不断推进依申请公开标准化建设，规范工作流程。借鉴省、市级政府信息公开申请办理答复模板，规范本单位政府信息公开申请办理，围绕疑难申请事项，加强部门协作研究，防范法律风险，切实做到“以公开为常态、不公开为例外”。截至目前我局共收到依申请公开20例，全部按时办结，未收取申请人任何费用；无因政府信息公开产生行政复议和行政诉讼的案件。</w:t>
      </w:r>
    </w:p>
    <w:p>
      <w:pPr>
        <w:widowControl w:val="false"/>
        <w:numPr>
          <w:ilvl w:val="0"/>
          <w:numId w:val="5"/>
        </w:numPr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  <w:t xml:space="preserve">政府信息管理</w:t>
      </w:r>
    </w:p>
    <w:p>
      <w:pPr>
        <w:widowControl w:val="false"/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  <w:t xml:space="preserve">我局安排设置专人管理政府信息公开平台账号，不定期对已公开信息进行筛查与回顾，及时更正、撤销错误过期信息，做到对政府信息管理的准确、常新。同时，充分发挥政府信息公开平台对外宣传和信息交流的作用，通过“中国杭州”门户网站和微信公众号等平台，认真听取社会各界对我局工作的意见和建议。</w:t>
      </w:r>
    </w:p>
    <w:p>
      <w:pPr>
        <w:widowControl w:val="false"/>
        <w:numPr>
          <w:ilvl w:val="0"/>
          <w:numId w:val="7"/>
        </w:numPr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  <w:t xml:space="preserve">政府信息公开平台建设</w:t>
      </w:r>
    </w:p>
    <w:p>
      <w:pPr>
        <w:widowControl w:val="false"/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  <w:t xml:space="preserve">我局是根据机构改革方案新组建的单位，按照市有关部门关于信息化建设集约化要求，我局不单独建立部门门户网站，相关政务信息通过“中国杭州”门户网站和微信公众号予以发布，保证政务公开工作及时准确进行。同时根据园林文物政务管理与服务实际，做好与国家、省、市新媒体政务平台系统对接，完善信息发布审核机制，优化政务公开各版块栏目内容，真正发挥政务信息公开的实际效用。</w:t>
      </w:r>
    </w:p>
    <w:p>
      <w:pPr>
        <w:widowControl w:val="false"/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  <w:t xml:space="preserve">（五）监督保障</w:t>
      </w:r>
    </w:p>
    <w:p>
      <w:pPr>
        <w:widowControl w:val="false"/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FFFFFF" w:val="clear"/>
        </w:rPr>
        <w:t xml:space="preserve">我局围绕政府信息公开工作实际，根据省市政务公开工作要求，始终坚持做好信息公开指南、信息公开目录、信息公开制度、法定主动公开内容、依申请公开、行政执法公开等内容的审核更新，保证信息公开规范及时。积极组织相关工作人员参与政府公开培训，不断适应政务公开工作新要求。</w:t>
      </w:r>
    </w:p>
    <w:p>
      <w:pPr>
        <w:widowControl w:val="false"/>
        <w:spacing w:before="0" w:after="0" w:line="240"/>
        <w:ind w:right="0" w:left="0" w:firstLine="482"/>
        <w:jc w:val="both"/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</w:pPr>
    </w:p>
    <w:p>
      <w:pPr>
        <w:widowControl w:val="false"/>
        <w:spacing w:before="0" w:after="0" w:line="360"/>
        <w:ind w:right="0" w:left="0" w:firstLine="482"/>
        <w:jc w:val="both"/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</w:pPr>
      <w:r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  <w:t xml:space="preserve">二、主动公开政府信息情况</w:t>
      </w:r>
    </w:p>
    <w:tbl>
      <w:tblPr/>
      <w:tblGrid>
        <w:gridCol w:w="2365"/>
        <w:gridCol w:w="2145"/>
        <w:gridCol w:w="2055"/>
        <w:gridCol w:w="2058"/>
      </w:tblGrid>
      <w:tr>
        <w:trPr>
          <w:trHeight w:val="340" w:hRule="auto"/>
          <w:jc w:val="center"/>
        </w:trPr>
        <w:tc>
          <w:tcPr>
            <w:tcW w:w="8623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c6d9f1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第二十条第（一）项</w:t>
            </w:r>
          </w:p>
        </w:tc>
      </w:tr>
      <w:tr>
        <w:trPr>
          <w:trHeight w:val="340" w:hRule="auto"/>
          <w:jc w:val="center"/>
        </w:trPr>
        <w:tc>
          <w:tcPr>
            <w:tcW w:w="236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信息内容</w:t>
            </w:r>
          </w:p>
        </w:tc>
        <w:tc>
          <w:tcPr>
            <w:tcW w:w="214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本年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制发件数</w:t>
            </w:r>
          </w:p>
        </w:tc>
        <w:tc>
          <w:tcPr>
            <w:tcW w:w="205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本年废止件数</w:t>
            </w:r>
          </w:p>
        </w:tc>
        <w:tc>
          <w:tcPr>
            <w:tcW w:w="205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现行有效件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数</w:t>
            </w:r>
          </w:p>
        </w:tc>
      </w:tr>
      <w:tr>
        <w:trPr>
          <w:trHeight w:val="340" w:hRule="auto"/>
          <w:jc w:val="center"/>
        </w:trPr>
        <w:tc>
          <w:tcPr>
            <w:tcW w:w="236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规章</w:t>
            </w:r>
          </w:p>
        </w:tc>
        <w:tc>
          <w:tcPr>
            <w:tcW w:w="214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05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0</w:t>
            </w:r>
          </w:p>
        </w:tc>
      </w:tr>
      <w:tr>
        <w:trPr>
          <w:trHeight w:val="340" w:hRule="auto"/>
          <w:jc w:val="center"/>
        </w:trPr>
        <w:tc>
          <w:tcPr>
            <w:tcW w:w="236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行政规范性文件</w:t>
            </w:r>
          </w:p>
        </w:tc>
        <w:tc>
          <w:tcPr>
            <w:tcW w:w="214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05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</w:tr>
      <w:tr>
        <w:trPr>
          <w:trHeight w:val="340" w:hRule="auto"/>
          <w:jc w:val="center"/>
        </w:trPr>
        <w:tc>
          <w:tcPr>
            <w:tcW w:w="8623" w:type="dxa"/>
            <w:gridSpan w:val="4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c6d9f1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第二十条第（五）项</w:t>
            </w:r>
          </w:p>
        </w:tc>
      </w:tr>
      <w:tr>
        <w:trPr>
          <w:trHeight w:val="340" w:hRule="auto"/>
          <w:jc w:val="center"/>
        </w:trPr>
        <w:tc>
          <w:tcPr>
            <w:tcW w:w="236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信息内容</w:t>
            </w:r>
          </w:p>
        </w:tc>
        <w:tc>
          <w:tcPr>
            <w:tcW w:w="6258" w:type="dxa"/>
            <w:gridSpan w:val="3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本年处理决定数量</w:t>
            </w:r>
          </w:p>
        </w:tc>
      </w:tr>
      <w:tr>
        <w:trPr>
          <w:trHeight w:val="340" w:hRule="auto"/>
          <w:jc w:val="center"/>
        </w:trPr>
        <w:tc>
          <w:tcPr>
            <w:tcW w:w="236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行政许可</w:t>
            </w:r>
          </w:p>
        </w:tc>
        <w:tc>
          <w:tcPr>
            <w:tcW w:w="6258" w:type="dxa"/>
            <w:gridSpan w:val="3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167</w:t>
            </w:r>
          </w:p>
        </w:tc>
      </w:tr>
      <w:tr>
        <w:trPr>
          <w:trHeight w:val="422" w:hRule="auto"/>
          <w:jc w:val="center"/>
        </w:trPr>
        <w:tc>
          <w:tcPr>
            <w:tcW w:w="8623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c6d9f1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第二十条第（六）项</w:t>
            </w:r>
          </w:p>
        </w:tc>
      </w:tr>
      <w:tr>
        <w:trPr>
          <w:trHeight w:val="340" w:hRule="auto"/>
          <w:jc w:val="center"/>
        </w:trPr>
        <w:tc>
          <w:tcPr>
            <w:tcW w:w="2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信息内容</w:t>
            </w:r>
          </w:p>
        </w:tc>
        <w:tc>
          <w:tcPr>
            <w:tcW w:w="625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本年处理决定数量</w:t>
            </w:r>
          </w:p>
        </w:tc>
      </w:tr>
      <w:tr>
        <w:trPr>
          <w:trHeight w:val="340" w:hRule="auto"/>
          <w:jc w:val="center"/>
        </w:trPr>
        <w:tc>
          <w:tcPr>
            <w:tcW w:w="2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行政处罚</w:t>
            </w:r>
          </w:p>
        </w:tc>
        <w:tc>
          <w:tcPr>
            <w:tcW w:w="625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40" w:hRule="auto"/>
          <w:jc w:val="center"/>
        </w:trPr>
        <w:tc>
          <w:tcPr>
            <w:tcW w:w="2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行政强制</w:t>
            </w:r>
          </w:p>
        </w:tc>
        <w:tc>
          <w:tcPr>
            <w:tcW w:w="625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40" w:hRule="auto"/>
          <w:jc w:val="center"/>
        </w:trPr>
        <w:tc>
          <w:tcPr>
            <w:tcW w:w="8623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c6d9f1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第二十条第（八）项</w:t>
            </w:r>
          </w:p>
        </w:tc>
      </w:tr>
      <w:tr>
        <w:trPr>
          <w:trHeight w:val="340" w:hRule="auto"/>
          <w:jc w:val="center"/>
        </w:trPr>
        <w:tc>
          <w:tcPr>
            <w:tcW w:w="2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信息内容</w:t>
            </w:r>
          </w:p>
        </w:tc>
        <w:tc>
          <w:tcPr>
            <w:tcW w:w="625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本年收费金额（单位：万元）</w:t>
            </w:r>
          </w:p>
        </w:tc>
      </w:tr>
      <w:tr>
        <w:trPr>
          <w:trHeight w:val="340" w:hRule="auto"/>
          <w:jc w:val="center"/>
        </w:trPr>
        <w:tc>
          <w:tcPr>
            <w:tcW w:w="2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行政事业性收费</w:t>
            </w:r>
          </w:p>
        </w:tc>
        <w:tc>
          <w:tcPr>
            <w:tcW w:w="625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658.9744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482"/>
        <w:jc w:val="both"/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</w:pPr>
    </w:p>
    <w:p>
      <w:pPr>
        <w:widowControl w:val="false"/>
        <w:spacing w:before="0" w:after="0" w:line="240"/>
        <w:ind w:right="0" w:left="0" w:firstLine="482"/>
        <w:jc w:val="both"/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</w:pPr>
    </w:p>
    <w:p>
      <w:pPr>
        <w:widowControl w:val="false"/>
        <w:spacing w:before="0" w:after="0" w:line="360"/>
        <w:ind w:right="0" w:left="0" w:firstLine="482"/>
        <w:jc w:val="both"/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</w:pPr>
      <w:r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  <w:t xml:space="preserve">三、收到和处理政府信息公开申请情况</w:t>
      </w:r>
    </w:p>
    <w:tbl>
      <w:tblPr/>
      <w:tblGrid>
        <w:gridCol w:w="730"/>
        <w:gridCol w:w="982"/>
        <w:gridCol w:w="2942"/>
        <w:gridCol w:w="648"/>
        <w:gridCol w:w="648"/>
        <w:gridCol w:w="648"/>
        <w:gridCol w:w="648"/>
        <w:gridCol w:w="648"/>
        <w:gridCol w:w="648"/>
        <w:gridCol w:w="651"/>
      </w:tblGrid>
      <w:tr>
        <w:trPr>
          <w:trHeight w:val="1" w:hRule="atLeast"/>
          <w:jc w:val="center"/>
        </w:trPr>
        <w:tc>
          <w:tcPr>
            <w:tcW w:w="4654" w:type="dxa"/>
            <w:gridSpan w:val="3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4539" w:type="dxa"/>
            <w:gridSpan w:val="7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申请人情况</w:t>
            </w:r>
          </w:p>
        </w:tc>
      </w:tr>
      <w:tr>
        <w:trPr>
          <w:trHeight w:val="1" w:hRule="atLeast"/>
          <w:jc w:val="center"/>
        </w:trPr>
        <w:tc>
          <w:tcPr>
            <w:tcW w:w="4654" w:type="dxa"/>
            <w:gridSpan w:val="3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自然人</w:t>
            </w:r>
          </w:p>
        </w:tc>
        <w:tc>
          <w:tcPr>
            <w:tcW w:w="3240" w:type="dxa"/>
            <w:gridSpan w:val="5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法人或其他组织</w:t>
            </w:r>
          </w:p>
        </w:tc>
        <w:tc>
          <w:tcPr>
            <w:tcW w:w="651" w:type="dxa"/>
            <w:vMerge w:val="restart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总计</w:t>
            </w:r>
          </w:p>
        </w:tc>
      </w:tr>
      <w:tr>
        <w:trPr>
          <w:trHeight w:val="1" w:hRule="atLeast"/>
          <w:jc w:val="center"/>
        </w:trPr>
        <w:tc>
          <w:tcPr>
            <w:tcW w:w="4654" w:type="dxa"/>
            <w:gridSpan w:val="3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8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商业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企业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科研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机构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社会公益组织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法律服务机构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其他</w:t>
            </w:r>
          </w:p>
        </w:tc>
        <w:tc>
          <w:tcPr>
            <w:tcW w:w="651" w:type="dxa"/>
            <w:vMerge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654" w:type="dxa"/>
            <w:gridSpan w:val="3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一、本年新收政府信息公开申请数量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center"/>
        </w:trPr>
        <w:tc>
          <w:tcPr>
            <w:tcW w:w="4654" w:type="dxa"/>
            <w:gridSpan w:val="3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二、上年结转政府信息公开申请数量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三、本年度办理结果</w:t>
            </w:r>
          </w:p>
        </w:tc>
        <w:tc>
          <w:tcPr>
            <w:tcW w:w="3924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（一）予以公开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 w:val="restart"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24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（二）部分公开（区分处理的，只计这一情形，不计其他情形）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（三）不予公开</w:t>
            </w: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1.属于国家秘密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2.其他法律行政法规禁止公开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3.危及“三安全一稳定”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4.保护第三方合法权益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5.属于三类内部事务信息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6.属于四类过程性信息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7.属于行政执法案卷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8.属于行政查询事项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（四）无法提供</w:t>
            </w: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1.本机关不掌握相关政府信息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2.没有现成信息需要另行制作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3.补正后申请内容仍不明确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（五）不予处理</w:t>
            </w: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1.信访举报投诉类申请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2.重复申请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3.要求提供公开出版物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4.无正当理由大量反复申请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779" w:hRule="auto"/>
          <w:jc w:val="center"/>
        </w:trPr>
        <w:tc>
          <w:tcPr>
            <w:tcW w:w="73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5.要求行政机关确认或重新出具已获取信息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（六）其他处理</w:t>
            </w:r>
          </w:p>
        </w:tc>
        <w:tc>
          <w:tcPr>
            <w:tcW w:w="294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1.申请人无正当理由逾期不补正、行政机关不再处理其政府信息公开申请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2.申请人逾期未按收费通知要求缴纳费用、行政机关不再处理其政府信息公开申请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3.其他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73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（七）总计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center"/>
        </w:trPr>
        <w:tc>
          <w:tcPr>
            <w:tcW w:w="465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四、结转下年度继续办理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5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</w:tbl>
    <w:p>
      <w:pPr>
        <w:widowControl w:val="false"/>
        <w:spacing w:before="0" w:after="0" w:line="240"/>
        <w:ind w:right="0" w:left="0" w:firstLine="480"/>
        <w:jc w:val="both"/>
        <w:rPr>
          <w:rFonts w:ascii="仿宋_GB2312" w:hAnsi="仿宋_GB2312" w:cs="仿宋_GB2312" w:eastAsia="仿宋_GB2312"/>
          <w:b/>
          <w:color w:val="333333"/>
          <w:spacing w:val="0"/>
          <w:position w:val="0"/>
          <w:sz w:val="27"/>
          <w:shd w:fill="FFFFFF" w:val="clear"/>
        </w:rPr>
      </w:pPr>
    </w:p>
    <w:p>
      <w:pPr>
        <w:widowControl w:val="false"/>
        <w:spacing w:before="0" w:after="0" w:line="360"/>
        <w:ind w:right="0" w:left="0" w:firstLine="482"/>
        <w:jc w:val="both"/>
        <w:rPr>
          <w:rFonts w:ascii="仿宋_GB2312" w:hAnsi="仿宋_GB2312" w:cs="仿宋_GB2312" w:eastAsia="仿宋_GB2312"/>
          <w:color w:val="333333"/>
          <w:spacing w:val="0"/>
          <w:position w:val="0"/>
          <w:sz w:val="30"/>
          <w:shd w:fill="FFFFFF" w:val="clear"/>
        </w:rPr>
      </w:pPr>
      <w:r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  <w:t xml:space="preserve">四、政府信息公开行政复议、行政诉讼情况</w:t>
      </w:r>
    </w:p>
    <w:tbl>
      <w:tblPr/>
      <w:tblGrid>
        <w:gridCol w:w="673"/>
        <w:gridCol w:w="670"/>
        <w:gridCol w:w="675"/>
        <w:gridCol w:w="661"/>
        <w:gridCol w:w="406"/>
        <w:gridCol w:w="629"/>
        <w:gridCol w:w="690"/>
        <w:gridCol w:w="630"/>
        <w:gridCol w:w="720"/>
        <w:gridCol w:w="469"/>
        <w:gridCol w:w="686"/>
        <w:gridCol w:w="645"/>
        <w:gridCol w:w="630"/>
        <w:gridCol w:w="690"/>
        <w:gridCol w:w="497"/>
      </w:tblGrid>
      <w:tr>
        <w:trPr>
          <w:trHeight w:val="1" w:hRule="atLeast"/>
          <w:jc w:val="center"/>
        </w:trPr>
        <w:tc>
          <w:tcPr>
            <w:tcW w:w="3085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行政复议</w:t>
            </w:r>
          </w:p>
        </w:tc>
        <w:tc>
          <w:tcPr>
            <w:tcW w:w="6286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行政诉讼</w:t>
            </w:r>
          </w:p>
        </w:tc>
      </w:tr>
      <w:tr>
        <w:trPr>
          <w:trHeight w:val="1" w:hRule="atLeast"/>
          <w:jc w:val="center"/>
        </w:trPr>
        <w:tc>
          <w:tcPr>
            <w:tcW w:w="673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结果维持</w:t>
            </w:r>
          </w:p>
        </w:tc>
        <w:tc>
          <w:tcPr>
            <w:tcW w:w="670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结果</w:t>
              <w:br/>
              <w:t xml:space="preserve">纠正</w:t>
            </w:r>
          </w:p>
        </w:tc>
        <w:tc>
          <w:tcPr>
            <w:tcW w:w="675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其他</w:t>
              <w:br/>
              <w:t xml:space="preserve">结果</w:t>
            </w:r>
          </w:p>
        </w:tc>
        <w:tc>
          <w:tcPr>
            <w:tcW w:w="66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尚未</w:t>
              <w:br/>
              <w:t xml:space="preserve">审结</w:t>
            </w:r>
          </w:p>
        </w:tc>
        <w:tc>
          <w:tcPr>
            <w:tcW w:w="40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总计</w:t>
            </w:r>
          </w:p>
        </w:tc>
        <w:tc>
          <w:tcPr>
            <w:tcW w:w="3138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未经复议直接起诉</w:t>
            </w:r>
          </w:p>
        </w:tc>
        <w:tc>
          <w:tcPr>
            <w:tcW w:w="3148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复议后起诉</w:t>
            </w:r>
          </w:p>
        </w:tc>
      </w:tr>
      <w:tr>
        <w:trPr>
          <w:trHeight w:val="1" w:hRule="atLeast"/>
          <w:jc w:val="center"/>
        </w:trPr>
        <w:tc>
          <w:tcPr>
            <w:tcW w:w="673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5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1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6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结果</w:t>
              <w:br/>
              <w:t xml:space="preserve">维持</w:t>
            </w:r>
          </w:p>
        </w:tc>
        <w:tc>
          <w:tcPr>
            <w:tcW w:w="6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结果</w:t>
              <w:br/>
              <w:t xml:space="preserve">纠正</w:t>
            </w:r>
          </w:p>
        </w:tc>
        <w:tc>
          <w:tcPr>
            <w:tcW w:w="6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其他</w:t>
              <w:br/>
              <w:t xml:space="preserve">结果</w:t>
            </w:r>
          </w:p>
        </w:tc>
        <w:tc>
          <w:tcPr>
            <w:tcW w:w="7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尚未</w:t>
              <w:br/>
              <w:t xml:space="preserve">审结</w:t>
            </w:r>
          </w:p>
        </w:tc>
        <w:tc>
          <w:tcPr>
            <w:tcW w:w="4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总计</w:t>
            </w:r>
          </w:p>
        </w:tc>
        <w:tc>
          <w:tcPr>
            <w:tcW w:w="6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结果</w:t>
              <w:br/>
              <w:t xml:space="preserve">维持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结果</w:t>
              <w:br/>
              <w:t xml:space="preserve">纠正</w:t>
            </w:r>
          </w:p>
        </w:tc>
        <w:tc>
          <w:tcPr>
            <w:tcW w:w="6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其他</w:t>
              <w:br/>
              <w:t xml:space="preserve">结果</w:t>
            </w:r>
          </w:p>
        </w:tc>
        <w:tc>
          <w:tcPr>
            <w:tcW w:w="69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尚未</w:t>
              <w:br/>
              <w:t xml:space="preserve">审结</w:t>
            </w:r>
          </w:p>
        </w:tc>
        <w:tc>
          <w:tcPr>
            <w:tcW w:w="4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总计</w:t>
            </w:r>
          </w:p>
        </w:tc>
      </w:tr>
      <w:tr>
        <w:trPr>
          <w:trHeight w:val="672" w:hRule="auto"/>
          <w:jc w:val="center"/>
        </w:trPr>
        <w:tc>
          <w:tcPr>
            <w:tcW w:w="673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0 </w:t>
            </w:r>
          </w:p>
        </w:tc>
        <w:tc>
          <w:tcPr>
            <w:tcW w:w="67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0 </w:t>
            </w:r>
          </w:p>
        </w:tc>
        <w:tc>
          <w:tcPr>
            <w:tcW w:w="67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0 </w:t>
            </w:r>
          </w:p>
        </w:tc>
        <w:tc>
          <w:tcPr>
            <w:tcW w:w="66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0 </w:t>
            </w:r>
          </w:p>
        </w:tc>
        <w:tc>
          <w:tcPr>
            <w:tcW w:w="40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0 </w:t>
            </w:r>
          </w:p>
        </w:tc>
        <w:tc>
          <w:tcPr>
            <w:tcW w:w="62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 0</w:t>
            </w:r>
          </w:p>
        </w:tc>
        <w:tc>
          <w:tcPr>
            <w:tcW w:w="6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0 </w:t>
            </w:r>
          </w:p>
        </w:tc>
        <w:tc>
          <w:tcPr>
            <w:tcW w:w="63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 0</w:t>
            </w:r>
          </w:p>
        </w:tc>
        <w:tc>
          <w:tcPr>
            <w:tcW w:w="46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 0</w:t>
            </w:r>
          </w:p>
        </w:tc>
        <w:tc>
          <w:tcPr>
            <w:tcW w:w="68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 0</w:t>
            </w:r>
          </w:p>
        </w:tc>
        <w:tc>
          <w:tcPr>
            <w:tcW w:w="64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0 </w:t>
            </w:r>
          </w:p>
        </w:tc>
        <w:tc>
          <w:tcPr>
            <w:tcW w:w="63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 0</w:t>
            </w:r>
          </w:p>
        </w:tc>
        <w:tc>
          <w:tcPr>
            <w:tcW w:w="6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0"/>
                <w:shd w:fill="auto" w:val="clear"/>
              </w:rPr>
              <w:t xml:space="preserve"> 0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widowControl w:val="false"/>
        <w:spacing w:before="0" w:after="0" w:line="240"/>
        <w:ind w:right="0" w:left="0" w:firstLine="482"/>
        <w:jc w:val="both"/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</w:pPr>
    </w:p>
    <w:p>
      <w:pPr>
        <w:widowControl w:val="false"/>
        <w:spacing w:before="0" w:after="0" w:line="360"/>
        <w:ind w:right="0" w:left="0" w:firstLine="482"/>
        <w:jc w:val="both"/>
        <w:rPr>
          <w:rFonts w:ascii="仿宋_GB2312" w:hAnsi="仿宋_GB2312" w:cs="仿宋_GB2312" w:eastAsia="仿宋_GB2312"/>
          <w:color w:val="333333"/>
          <w:spacing w:val="0"/>
          <w:position w:val="0"/>
          <w:sz w:val="30"/>
          <w:shd w:fill="FFFFFF" w:val="clear"/>
        </w:rPr>
      </w:pPr>
      <w:r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  <w:t xml:space="preserve">五、存在的主要问题及改进情况</w:t>
      </w:r>
    </w:p>
    <w:p>
      <w:pPr>
        <w:widowControl w:val="false"/>
        <w:spacing w:before="0" w:after="0" w:line="360"/>
        <w:ind w:right="0" w:left="0" w:firstLine="482"/>
        <w:jc w:val="both"/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</w:pPr>
      <w:r>
        <w:rPr>
          <w:rFonts w:ascii="仿宋_GB2312" w:hAnsi="仿宋_GB2312" w:cs="仿宋_GB2312" w:eastAsia="仿宋_GB2312"/>
          <w:color w:val="000000"/>
          <w:spacing w:val="0"/>
          <w:position w:val="0"/>
          <w:sz w:val="27"/>
          <w:shd w:fill="FFFFFF" w:val="clear"/>
        </w:rPr>
        <w:t xml:space="preserve">对照《中华人民共和国政府信息公开条例》及有关规定要求，当前政府信息公开工作中仍然存在一些问题，比如：政策解读方式需进一步丰富创新，政府信息公开平台和工作队伍建设需进一步加强，等等。2023年，杭州市园林文物局将继续落实党中央、国务院关于全面推进政务公开工作的部署，对照年度政务公开工作要点及政务公开第三方评估指标等有关要求，不断提高政府信息公开工作制度化、标准化、信息化水平，推动市园林文物领域工作的高质量发展。</w:t>
      </w:r>
    </w:p>
    <w:p>
      <w:pPr>
        <w:widowControl w:val="false"/>
        <w:spacing w:before="0" w:after="0" w:line="360"/>
        <w:ind w:right="0" w:left="0" w:firstLine="482"/>
        <w:jc w:val="both"/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</w:pPr>
      <w:r>
        <w:rPr>
          <w:rFonts w:ascii="仿宋_GB2312" w:hAnsi="仿宋_GB2312" w:cs="仿宋_GB2312" w:eastAsia="仿宋_GB2312"/>
          <w:b/>
          <w:color w:val="333333"/>
          <w:spacing w:val="0"/>
          <w:position w:val="0"/>
          <w:sz w:val="30"/>
          <w:shd w:fill="FFFFFF" w:val="clear"/>
        </w:rPr>
        <w:t xml:space="preserve">六、其他需要报告的事项</w:t>
      </w:r>
    </w:p>
    <w:p>
      <w:pPr>
        <w:widowControl w:val="false"/>
        <w:spacing w:before="0" w:after="0" w:line="360"/>
        <w:ind w:right="0" w:left="0" w:firstLine="482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7"/>
          <w:shd w:fill="FFFFFF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7"/>
          <w:shd w:fill="FFFFFF" w:val="clear"/>
        </w:rPr>
        <w:t xml:space="preserve">本年度我局未收取任何信息处理费用。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