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sz w:val="21"/>
          <w:szCs w:val="21"/>
        </w:rPr>
      </w:pPr>
      <w:r>
        <w:rPr>
          <w:rFonts w:ascii="小标宋" w:hAnsi="小标宋" w:eastAsia="小标宋" w:cs="小标宋"/>
          <w:sz w:val="43"/>
          <w:szCs w:val="43"/>
        </w:rPr>
        <w:t>杭州市区工伤保险行业基准费率及浮动费率表</w:t>
      </w:r>
    </w:p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5"/>
        <w:gridCol w:w="1995"/>
        <w:gridCol w:w="1980"/>
        <w:gridCol w:w="2400"/>
        <w:gridCol w:w="15"/>
        <w:gridCol w:w="2265"/>
        <w:gridCol w:w="24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</w:rPr>
              <w:t>行业类别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</w:rPr>
              <w:t>下浮二档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</w:rPr>
              <w:t>下浮一档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</w:rPr>
              <w:t>基准费率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</w:rPr>
              <w:t>上浮一档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</w:rPr>
              <w:t>上浮二档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31"/>
                <w:szCs w:val="31"/>
                <w:bdr w:val="none" w:color="auto" w:sz="0" w:space="0"/>
              </w:rPr>
              <w:t>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31"/>
                <w:szCs w:val="31"/>
                <w:bdr w:val="none" w:color="auto" w:sz="0" w:space="0"/>
              </w:rPr>
              <w:t>――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――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0.2%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0.24%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0.20%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0.32%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0.4%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0.48%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0.60%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0.30%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0.48%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0.6%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0.72%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0.35%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0.56%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0.7%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0.84%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1.05%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五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0.40%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0.64%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0.8%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0.96%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0.55%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0.88%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1.1%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1.32%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1.65%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0.65%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1.04%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1.3%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1.56%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1.95%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  <w:bdr w:val="none" w:color="auto" w:sz="0" w:space="0"/>
              </w:rPr>
              <w:t>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0.75%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1.20%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1.5%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1.80%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bdr w:val="none" w:color="auto" w:sz="0" w:space="0"/>
              </w:rPr>
              <w:t>2.25%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0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2020-11-12T07:09:58Z</dcterms:created>
  <dc:creator>Administrator</dc:creator>
  <cp:lastModifiedBy>Administrator</cp:lastModifiedBy>
  <dcterms:modified xsi:type="dcterms:W3CDTF">2020-11-12T07:10:09Z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